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DD" w:rsidRPr="006506DD" w:rsidRDefault="006506DD" w:rsidP="006506DD">
      <w:pPr>
        <w:shd w:val="clear" w:color="auto" w:fill="1C4054"/>
        <w:spacing w:before="635" w:after="635" w:line="847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FFFF"/>
          <w:kern w:val="36"/>
          <w:sz w:val="74"/>
          <w:szCs w:val="74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FFFFFF"/>
          <w:kern w:val="36"/>
          <w:sz w:val="74"/>
          <w:szCs w:val="74"/>
          <w:lang w:eastAsia="tr-TR"/>
        </w:rPr>
        <w:t>eTwinning</w:t>
      </w:r>
      <w:proofErr w:type="spellEnd"/>
      <w:r w:rsidRPr="006506DD">
        <w:rPr>
          <w:rFonts w:ascii="inherit" w:eastAsia="Times New Roman" w:hAnsi="inherit" w:cs="Times New Roman"/>
          <w:b/>
          <w:bCs/>
          <w:color w:val="FFFFFF"/>
          <w:kern w:val="36"/>
          <w:sz w:val="74"/>
          <w:szCs w:val="74"/>
          <w:lang w:eastAsia="tr-TR"/>
        </w:rPr>
        <w:t>, Avrupa’daki okullar için oluşturulmuş bir topluluktur.</w:t>
      </w:r>
    </w:p>
    <w:p w:rsidR="006506DD" w:rsidRPr="006506DD" w:rsidRDefault="006506DD" w:rsidP="006506DD">
      <w:pPr>
        <w:shd w:val="clear" w:color="auto" w:fill="1C4054"/>
        <w:spacing w:after="100" w:line="240" w:lineRule="auto"/>
        <w:jc w:val="center"/>
        <w:textAlignment w:val="baseline"/>
        <w:rPr>
          <w:rFonts w:ascii="Source Sans Pro" w:eastAsia="Times New Roman" w:hAnsi="Source Sans Pro" w:cs="Times New Roman"/>
          <w:color w:val="FFFFFF"/>
          <w:sz w:val="34"/>
          <w:szCs w:val="34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color w:val="90A1AB"/>
          <w:sz w:val="38"/>
          <w:szCs w:val="38"/>
          <w:bdr w:val="none" w:sz="0" w:space="0" w:color="auto" w:frame="1"/>
          <w:lang w:eastAsia="tr-TR"/>
        </w:rPr>
        <w:t>eTwinning</w:t>
      </w:r>
      <w:proofErr w:type="spellEnd"/>
      <w:r w:rsidRPr="006506DD">
        <w:rPr>
          <w:rFonts w:ascii="inherit" w:eastAsia="Times New Roman" w:hAnsi="inherit" w:cs="Times New Roman"/>
          <w:color w:val="90A1AB"/>
          <w:sz w:val="38"/>
          <w:szCs w:val="38"/>
          <w:bdr w:val="none" w:sz="0" w:space="0" w:color="auto" w:frame="1"/>
          <w:lang w:eastAsia="tr-TR"/>
        </w:rPr>
        <w:t>, iletişim kurmak, işbirliği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v.b.) yönelik bir platform sunmaktadır.</w:t>
      </w:r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, </w:t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t>Bilgi ve İletişim Teknolojileri</w:t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 (BİT) kullanımıyla okullar için destek, araç ve hizmetler sağlayarak Avrupa’daki okullar arası işbirliğini teşvik eder. Ayrıca;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, eğitimciler için sürekli çevrimiçi Mesleki Gelişim için ücretsiz fırsatlar da sunmaktadır.</w:t>
      </w:r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2005 yılında Avrupa Komisyonunun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eöğrenme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Programının ana hareketi olarak başlatılan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, 2014 yılından bu yana AB Eğitim, Öğretim, Gençlik ve </w:t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lastRenderedPageBreak/>
        <w:t>Spor program olan 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begin"/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instrText xml:space="preserve"> HYPERLINK "http://ec.europa.eu/programmes/erasmus-plus/node_en" </w:instrText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separate"/>
      </w:r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Erasmus</w:t>
      </w:r>
      <w:proofErr w:type="spellEnd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+</w:t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end"/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'a, sıkı bir şekilde </w:t>
      </w:r>
      <w:proofErr w:type="gram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entegre</w:t>
      </w:r>
      <w:proofErr w:type="gram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edilmiştir.</w:t>
      </w:r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Merkezi Destek Servisi, Avrupa'daki okullar, öğretmenler ve öğrenciler için eğitimi geliştiren 34 Avrupa Eğitim Bakanlığının uluslararası işbirliğinden oluşan 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begin"/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instrText xml:space="preserve"> HYPERLINK "http://www.eun.org/" </w:instrText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separate"/>
      </w:r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European</w:t>
      </w:r>
      <w:proofErr w:type="spellEnd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Schoolnet</w:t>
      </w:r>
      <w:proofErr w:type="spellEnd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end"/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 tarafından yönetilmektedir. Ayrıca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ulusal düzeyde </w:t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t xml:space="preserve">38 Ulusal Destek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t>Servisitarafından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 desteklenmektedir.</w:t>
      </w:r>
    </w:p>
    <w:p w:rsidR="006506DD" w:rsidRPr="006506DD" w:rsidRDefault="006506DD" w:rsidP="006506DD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1C4054"/>
          <w:sz w:val="36"/>
          <w:szCs w:val="36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eTwinning</w:t>
      </w:r>
      <w:proofErr w:type="spellEnd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Portalı</w:t>
      </w:r>
      <w:proofErr w:type="spellEnd"/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portalı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, 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fldChar w:fldCharType="begin"/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instrText xml:space="preserve"> HYPERLINK "http://www.etwinning.net/tr/pub/index.htm" </w:instrText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fldChar w:fldCharType="separate"/>
      </w:r>
      <w:r w:rsidRPr="006506DD">
        <w:rPr>
          <w:rFonts w:ascii="inherit" w:eastAsia="Times New Roman" w:hAnsi="inherit" w:cs="Times New Roman"/>
          <w:b/>
          <w:bCs/>
          <w:color w:val="F17D00"/>
          <w:sz w:val="38"/>
          <w:lang w:eastAsia="tr-TR"/>
        </w:rPr>
        <w:t>eTwinning</w:t>
      </w:r>
      <w:proofErr w:type="spellEnd"/>
      <w:r w:rsidRPr="006506DD">
        <w:rPr>
          <w:rFonts w:ascii="inherit" w:eastAsia="Times New Roman" w:hAnsi="inherit" w:cs="Times New Roman"/>
          <w:b/>
          <w:bCs/>
          <w:color w:val="F17D00"/>
          <w:sz w:val="38"/>
          <w:lang w:eastAsia="tr-TR"/>
        </w:rPr>
        <w:t> dünyasına</w:t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fldChar w:fldCharType="end"/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 giriş noktasıdır. 28 dilde kullanıma sunulmuş olan </w:t>
      </w:r>
      <w:proofErr w:type="spellStart"/>
      <w:proofErr w:type="gram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.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net’de</w:t>
      </w:r>
      <w:proofErr w:type="spellEnd"/>
      <w:proofErr w:type="gram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;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ülkelerinden haberler, mesleki gelişim fırsatları, tanımayla ilgili bilgiler ve ayrıca başarılı projelerden örnekler sunulmaktadır.</w:t>
      </w:r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t xml:space="preserve">Öğretmenler,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t>eTwinning’e</w:t>
      </w:r>
      <w:proofErr w:type="spellEnd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t xml:space="preserve"> katılarak şunlara erişim sağlayabilirler:</w:t>
      </w:r>
    </w:p>
    <w:p w:rsidR="006506DD" w:rsidRPr="006506DD" w:rsidRDefault="006506DD" w:rsidP="006506DD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1C4054"/>
          <w:sz w:val="36"/>
          <w:szCs w:val="36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eTwinning</w:t>
      </w:r>
      <w:proofErr w:type="spellEnd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 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Live</w:t>
      </w:r>
      <w:proofErr w:type="spellEnd"/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Öğretmenlerin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topluluğunu tüm potansiyeliyle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deneyimledikleri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yerdir. Öğretmenler, diğer kayıtlı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lastRenderedPageBreak/>
        <w:t>eTwinner’lar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ve okullar hakkında arama yapabilir, onlarla bağlantı kurabilir ve aktivitelerini takip edebilirler. Öğretmenler,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eTwinner’lar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tarafından oluşturulan tüm çevrimiçi ve yerinde etkinliklere erişim sağlayabilir ve kendi etkinliklerini oluşturabilirler.</w:t>
      </w:r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 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Live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aracılığıyla, öğretmenler farklı konularda ve farklı anahtar yetkinliklerde iki veya daha fazla öğretmen ve öğrencileriyle birlikte işbirliği yaparak aktiviteler gerçekleştirebilecekleri kendi projelerini oluşturabilirler.</w:t>
      </w:r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Öğretmenler,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eTwinning’in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Avrupa düzeyinde sunduğu çevrimiçi mesleki gelişim fırsatlarını bulabilirler. Öğrenme Etkinlikleri; öğretmenlere bir konuyu tanıtan, fikirleri uyaran ve becerilerini geliştirmelerine yardımcı olan kısa, yoğun ve eğlenceli kurslardır. Öğrenme etkinlikleri, genellikle 4-6 saat sürer. Çevrimiçi Seminerler, öğretmenlerin çeşitli konular hakkında bilgi edinme, </w:t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lastRenderedPageBreak/>
        <w:t>konuşma ve tartışma şansını yakaladıkları bir saatlik canlı çevrimiçi video oturumlarıdır.</w:t>
      </w:r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Öğretmenler, 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t>eTwinning</w:t>
      </w:r>
      <w:proofErr w:type="spellEnd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t xml:space="preserve"> Gruplarına</w:t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 da katılabilirler. Bu Gruplar,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eTwinner’ların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buluşup belirli dersler, konular ve diğer ilgi alanları hakkında tartıştıkları sanal yerlerdir. MDS tarafından koordine edilen ve deneyimli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eTwinner’lar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tarafından yönetilen </w:t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t>14 Özel Grup</w:t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 </w:t>
      </w:r>
      <w:proofErr w:type="gram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bulunmaktadır.Bunlar</w:t>
      </w:r>
      <w:proofErr w:type="gram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, aşağıda belirtilmiştir.</w:t>
      </w:r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Coding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at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schools</w:t>
      </w:r>
      <w:proofErr w:type="spellEnd"/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English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as a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Second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Language</w:t>
      </w:r>
      <w:proofErr w:type="spellEnd"/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Entrepreneurship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in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education</w:t>
      </w:r>
      <w:proofErr w:type="spellEnd"/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Bringing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eSafety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into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eTwinning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projects</w:t>
      </w:r>
      <w:proofErr w:type="spellEnd"/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French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as a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Second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Language</w:t>
      </w:r>
      <w:proofErr w:type="spellEnd"/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STEM</w:t>
      </w:r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Sustainable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Schools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Network</w:t>
      </w:r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Game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-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based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classroom</w:t>
      </w:r>
      <w:proofErr w:type="spellEnd"/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Inclusive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 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Education</w:t>
      </w:r>
      <w:proofErr w:type="spellEnd"/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Creative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Classroom</w:t>
      </w:r>
      <w:proofErr w:type="spellEnd"/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lastRenderedPageBreak/>
        <w:t>Virgilio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-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Your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eTwinning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Guide</w:t>
      </w:r>
      <w:proofErr w:type="spellEnd"/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Gender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-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Know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How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to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Stop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Stereotypes</w:t>
      </w:r>
      <w:proofErr w:type="spellEnd"/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Integrating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Migrant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Students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at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School</w:t>
      </w:r>
      <w:proofErr w:type="spellEnd"/>
    </w:p>
    <w:p w:rsidR="006506DD" w:rsidRPr="006506DD" w:rsidRDefault="006506DD" w:rsidP="006506DD">
      <w:pPr>
        <w:numPr>
          <w:ilvl w:val="0"/>
          <w:numId w:val="1"/>
        </w:numPr>
        <w:spacing w:beforeAutospacing="1" w:after="0" w:afterAutospacing="1" w:line="762" w:lineRule="atLeast"/>
        <w:ind w:left="0"/>
        <w:textAlignment w:val="baseline"/>
        <w:rPr>
          <w:rFonts w:ascii="Source Sans Pro" w:eastAsia="Times New Roman" w:hAnsi="Source Sans Pro" w:cs="Times New Roman"/>
          <w:color w:val="91929A"/>
          <w:sz w:val="38"/>
          <w:szCs w:val="38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School</w:t>
      </w:r>
      <w:proofErr w:type="spellEnd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91929A"/>
          <w:sz w:val="38"/>
          <w:lang w:eastAsia="tr-TR"/>
        </w:rPr>
        <w:t>Leadership</w:t>
      </w:r>
      <w:proofErr w:type="spellEnd"/>
    </w:p>
    <w:p w:rsidR="006506DD" w:rsidRPr="006506DD" w:rsidRDefault="006506DD" w:rsidP="006506DD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1C4054"/>
          <w:sz w:val="36"/>
          <w:szCs w:val="36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eTwinning</w:t>
      </w:r>
      <w:proofErr w:type="spellEnd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 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Live</w:t>
      </w:r>
      <w:proofErr w:type="spellEnd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 xml:space="preserve"> uygulaması</w:t>
      </w:r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mobil uygulaması, kullanıcılara mobil cihazları üzerinden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Live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servislerine ve bildirimlere erişim fırsatı sunar.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eTwinner’lar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; pop-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up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(açılır)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bilidirmler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sayesinde,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Live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platformunda olan bitenler hakkında güncel kalırlar ve bir iletişim isteğini kabul etme gibi temel işlemleri gerçekleştirebilirler. </w:t>
      </w:r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Bu uygulamayı, şu adresleri tıklayarak indirilebilirsiniz: 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begin"/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instrText xml:space="preserve"> HYPERLINK "https://itunes.apple.com/us/app/etwinning/id1293134979?mt=8" \t "_blank" </w:instrText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separate"/>
      </w:r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Apple</w:t>
      </w:r>
      <w:proofErr w:type="spellEnd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App</w:t>
      </w:r>
      <w:proofErr w:type="spellEnd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Store</w:t>
      </w:r>
      <w:proofErr w:type="spellEnd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end"/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 ve 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begin"/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instrText xml:space="preserve"> HYPERLINK "https://play.google.com/store/apps/details?id=net.etwinning.app&amp;hl=en" \t "_blank" </w:instrText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separate"/>
      </w:r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Google</w:t>
      </w:r>
      <w:proofErr w:type="spellEnd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Play</w:t>
      </w:r>
      <w:proofErr w:type="spellEnd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Store</w:t>
      </w:r>
      <w:proofErr w:type="spellEnd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end"/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; hem akıllı telefonlarda hem de tablet cihazlarda kullanılabilir. Acele edin ve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mobil topluluğuna bugün katılın!</w:t>
      </w:r>
    </w:p>
    <w:p w:rsidR="006506DD" w:rsidRPr="006506DD" w:rsidRDefault="006506DD" w:rsidP="006506DD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1C4054"/>
          <w:sz w:val="36"/>
          <w:szCs w:val="36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TwinSpace</w:t>
      </w:r>
      <w:proofErr w:type="spellEnd"/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lastRenderedPageBreak/>
        <w:t>eTwinning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sihrinin tam olarak gerçekleştiği yer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TwinSpace’dir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. Sadece bir projeye katılmış olan öğretmenlerin görebileceği güvenilir bir platformdur. Öğrenciler de ortak okullarındaki akranlarıyla buluşup işbirliği yapmak üzere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TwinSpace’e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davet edilebilirler.</w:t>
      </w:r>
    </w:p>
    <w:p w:rsidR="006506DD" w:rsidRPr="006506DD" w:rsidRDefault="006506DD" w:rsidP="006506DD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1C4054"/>
          <w:sz w:val="36"/>
          <w:szCs w:val="36"/>
          <w:lang w:eastAsia="tr-TR"/>
        </w:rPr>
      </w:pPr>
      <w:proofErr w:type="spellStart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School</w:t>
      </w:r>
      <w:proofErr w:type="spellEnd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Education</w:t>
      </w:r>
      <w:proofErr w:type="spellEnd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1C4054"/>
          <w:sz w:val="36"/>
          <w:szCs w:val="36"/>
          <w:lang w:eastAsia="tr-TR"/>
        </w:rPr>
        <w:t>Gateway</w:t>
      </w:r>
      <w:proofErr w:type="spellEnd"/>
    </w:p>
    <w:p w:rsidR="006506DD" w:rsidRPr="006506DD" w:rsidRDefault="006506DD" w:rsidP="006506DD">
      <w:pPr>
        <w:spacing w:after="0" w:line="762" w:lineRule="atLeast"/>
        <w:textAlignment w:val="baseline"/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</w:pP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Öğretmenlerin, 23 Avrupa dilinde kullanıma sunulan ve Avrupa’nın okul eğitimine yönelik çevrimiçi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platfomu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 olan 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begin"/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instrText xml:space="preserve"> HYPERLINK "https://www.schooleducationgateway.eu/en/pub/about.htm" \t "_blank" </w:instrText>
      </w:r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separate"/>
      </w:r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School</w:t>
      </w:r>
      <w:proofErr w:type="spellEnd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Education</w:t>
      </w:r>
      <w:proofErr w:type="spellEnd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 xml:space="preserve"> </w:t>
      </w:r>
      <w:proofErr w:type="spellStart"/>
      <w:r w:rsidRPr="006506DD">
        <w:rPr>
          <w:rFonts w:ascii="inherit" w:eastAsia="Times New Roman" w:hAnsi="inherit" w:cs="Times New Roman"/>
          <w:b/>
          <w:bCs/>
          <w:color w:val="F17D00"/>
          <w:sz w:val="38"/>
          <w:u w:val="single"/>
          <w:lang w:eastAsia="tr-TR"/>
        </w:rPr>
        <w:t>Gateway</w:t>
      </w:r>
      <w:proofErr w:type="spellEnd"/>
      <w:r w:rsidRPr="006506DD">
        <w:rPr>
          <w:rFonts w:ascii="inherit" w:eastAsia="Times New Roman" w:hAnsi="inherit" w:cs="Times New Roman"/>
          <w:b/>
          <w:bCs/>
          <w:color w:val="787A7F"/>
          <w:sz w:val="38"/>
          <w:lang w:eastAsia="tr-TR"/>
        </w:rPr>
        <w:fldChar w:fldCharType="end"/>
      </w:r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 xml:space="preserve"> sitesini ziyaret etmelerinden memnuniyet duyulacaktır. Öğretmenler, okul müdürleri, </w:t>
      </w:r>
      <w:proofErr w:type="spellStart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siyaetçiler</w:t>
      </w:r>
      <w:proofErr w:type="spellEnd"/>
      <w:r w:rsidRPr="006506DD">
        <w:rPr>
          <w:rFonts w:ascii="Source Sans Pro" w:eastAsia="Times New Roman" w:hAnsi="Source Sans Pro" w:cs="Times New Roman"/>
          <w:color w:val="787A7F"/>
          <w:sz w:val="38"/>
          <w:szCs w:val="38"/>
          <w:lang w:eastAsia="tr-TR"/>
        </w:rPr>
        <w:t>, uzmanlar ve okul eğitimi alanında görev yapan diğer profesyoneller için tek giriş noktasıdır. Bugün katılın ve okullarla ilgili Avrupa politikaları ve eylemleri hakkında bilgi sahibi olun.</w:t>
      </w:r>
    </w:p>
    <w:p w:rsidR="00C21DA4" w:rsidRDefault="00C21DA4"/>
    <w:sectPr w:rsidR="00C21DA4" w:rsidSect="00FA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A92"/>
    <w:multiLevelType w:val="multilevel"/>
    <w:tmpl w:val="0B36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D04CE"/>
    <w:multiLevelType w:val="multilevel"/>
    <w:tmpl w:val="233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6506DD"/>
    <w:rsid w:val="00022634"/>
    <w:rsid w:val="002A762E"/>
    <w:rsid w:val="006506DD"/>
    <w:rsid w:val="00C21DA4"/>
    <w:rsid w:val="00FA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FA"/>
  </w:style>
  <w:style w:type="paragraph" w:styleId="Balk1">
    <w:name w:val="heading 1"/>
    <w:basedOn w:val="Normal"/>
    <w:link w:val="Balk1Char"/>
    <w:uiPriority w:val="9"/>
    <w:qFormat/>
    <w:rsid w:val="0065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5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506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506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06D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50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261">
          <w:marLeft w:val="0"/>
          <w:marRight w:val="0"/>
          <w:marTop w:val="2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026">
          <w:marLeft w:val="0"/>
          <w:marRight w:val="0"/>
          <w:marTop w:val="19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35">
              <w:marLeft w:val="0"/>
              <w:marRight w:val="0"/>
              <w:marTop w:val="2965"/>
              <w:marBottom w:val="8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zühre</dc:creator>
  <cp:lastModifiedBy>zühre</cp:lastModifiedBy>
  <cp:revision>1</cp:revision>
  <dcterms:created xsi:type="dcterms:W3CDTF">2021-02-08T10:35:00Z</dcterms:created>
  <dcterms:modified xsi:type="dcterms:W3CDTF">2021-02-08T10:41:00Z</dcterms:modified>
</cp:coreProperties>
</file>